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46B" w:rsidRPr="00C5092E" w:rsidRDefault="00C5092E">
      <w:r w:rsidRPr="00C5092E">
        <w:t>SUBJECT: Project Lead the Way Update</w:t>
      </w:r>
    </w:p>
    <w:p w:rsidR="00C5092E" w:rsidRPr="00C5092E" w:rsidRDefault="00C5092E"/>
    <w:p w:rsidR="00C5092E" w:rsidRPr="00C5092E" w:rsidRDefault="00C5092E" w:rsidP="00C5092E">
      <w:pPr>
        <w:pStyle w:val="NormalWeb"/>
        <w:rPr>
          <w:rFonts w:ascii="Times New Roman" w:hAnsi="Times New Roman" w:cs="Times New Roman"/>
          <w:color w:val="auto"/>
          <w:sz w:val="24"/>
          <w:szCs w:val="24"/>
        </w:rPr>
      </w:pPr>
      <w:r w:rsidRPr="00C5092E">
        <w:rPr>
          <w:rFonts w:ascii="Times New Roman" w:hAnsi="Times New Roman" w:cs="Times New Roman"/>
          <w:color w:val="auto"/>
          <w:sz w:val="24"/>
          <w:szCs w:val="24"/>
        </w:rPr>
        <w:t xml:space="preserve">In December of 2007, AAC was provided information about Project Lead The Way (PLTW), a national program that is being supported by the </w:t>
      </w:r>
      <w:r>
        <w:rPr>
          <w:rFonts w:ascii="Times New Roman" w:hAnsi="Times New Roman" w:cs="Times New Roman"/>
          <w:color w:val="auto"/>
          <w:sz w:val="24"/>
          <w:szCs w:val="24"/>
        </w:rPr>
        <w:t xml:space="preserve">South Dakota </w:t>
      </w:r>
      <w:r w:rsidRPr="00C5092E">
        <w:rPr>
          <w:rFonts w:ascii="Times New Roman" w:hAnsi="Times New Roman" w:cs="Times New Roman"/>
          <w:color w:val="auto"/>
          <w:sz w:val="24"/>
          <w:szCs w:val="24"/>
        </w:rPr>
        <w:t xml:space="preserve">Department of Education and implemented by a number of schools in South Dakota.  PLTW is a national 501 c3, not-for-profit educational program that helps give middle and high school students the rigorous ground-level education they need to develop strong backgrounds in science and engineering.  PLTW's curriculum </w:t>
      </w:r>
      <w:r>
        <w:rPr>
          <w:rFonts w:ascii="Times New Roman" w:hAnsi="Times New Roman" w:cs="Times New Roman"/>
          <w:color w:val="auto"/>
          <w:sz w:val="24"/>
          <w:szCs w:val="24"/>
        </w:rPr>
        <w:t xml:space="preserve">works to make </w:t>
      </w:r>
      <w:r w:rsidRPr="00C5092E">
        <w:rPr>
          <w:rFonts w:ascii="Times New Roman" w:hAnsi="Times New Roman" w:cs="Times New Roman"/>
          <w:color w:val="auto"/>
          <w:sz w:val="24"/>
          <w:szCs w:val="24"/>
        </w:rPr>
        <w:t xml:space="preserve">math and science relevant for students. </w:t>
      </w:r>
    </w:p>
    <w:p w:rsidR="00C5092E" w:rsidRPr="00C5092E" w:rsidRDefault="00C5092E" w:rsidP="00C5092E">
      <w:pPr>
        <w:pStyle w:val="NormalWeb"/>
        <w:rPr>
          <w:rFonts w:ascii="Times New Roman" w:hAnsi="Times New Roman" w:cs="Times New Roman"/>
          <w:color w:val="auto"/>
          <w:sz w:val="24"/>
          <w:szCs w:val="24"/>
        </w:rPr>
      </w:pPr>
      <w:r w:rsidRPr="00C5092E">
        <w:rPr>
          <w:rFonts w:ascii="Times New Roman" w:hAnsi="Times New Roman" w:cs="Times New Roman"/>
          <w:bCs/>
          <w:color w:val="auto"/>
          <w:sz w:val="24"/>
          <w:szCs w:val="24"/>
        </w:rPr>
        <w:t>The PLTW goals are to:</w:t>
      </w:r>
      <w:r w:rsidRPr="00C5092E">
        <w:rPr>
          <w:rFonts w:ascii="Times New Roman" w:hAnsi="Times New Roman" w:cs="Times New Roman"/>
          <w:color w:val="auto"/>
          <w:sz w:val="24"/>
          <w:szCs w:val="24"/>
        </w:rPr>
        <w:t xml:space="preserve"> </w:t>
      </w:r>
    </w:p>
    <w:p w:rsidR="00C5092E" w:rsidRPr="00C5092E" w:rsidRDefault="00C5092E" w:rsidP="00C5092E">
      <w:pPr>
        <w:numPr>
          <w:ilvl w:val="0"/>
          <w:numId w:val="1"/>
        </w:numPr>
        <w:spacing w:before="100" w:beforeAutospacing="1" w:after="240" w:line="255" w:lineRule="atLeast"/>
        <w:rPr>
          <w:rFonts w:eastAsia="Times New Roman"/>
          <w:szCs w:val="24"/>
        </w:rPr>
      </w:pPr>
      <w:r w:rsidRPr="00C5092E">
        <w:rPr>
          <w:rFonts w:eastAsia="Times New Roman"/>
          <w:szCs w:val="24"/>
        </w:rPr>
        <w:t>Increase the number of young people who pursue engineering and engineering technology programs in four- and two-year post-secondary programs.</w:t>
      </w:r>
    </w:p>
    <w:p w:rsidR="00C5092E" w:rsidRPr="00C5092E" w:rsidRDefault="00C5092E" w:rsidP="00C5092E">
      <w:pPr>
        <w:numPr>
          <w:ilvl w:val="0"/>
          <w:numId w:val="1"/>
        </w:numPr>
        <w:spacing w:before="100" w:beforeAutospacing="1" w:after="100" w:afterAutospacing="1" w:line="255" w:lineRule="atLeast"/>
        <w:rPr>
          <w:rFonts w:eastAsia="Times New Roman"/>
          <w:szCs w:val="24"/>
        </w:rPr>
      </w:pPr>
      <w:r w:rsidRPr="00C5092E">
        <w:rPr>
          <w:rFonts w:eastAsia="Times New Roman"/>
          <w:szCs w:val="24"/>
        </w:rPr>
        <w:t>Provide equitable and inclusive opportunities for all academically qualified students. Provide clear standards and expectations for student success in the program.</w:t>
      </w:r>
    </w:p>
    <w:p w:rsidR="00C5092E" w:rsidRPr="00C5092E" w:rsidRDefault="00C5092E" w:rsidP="00C5092E">
      <w:pPr>
        <w:numPr>
          <w:ilvl w:val="0"/>
          <w:numId w:val="1"/>
        </w:numPr>
        <w:spacing w:before="100" w:beforeAutospacing="1" w:after="240" w:line="255" w:lineRule="atLeast"/>
        <w:rPr>
          <w:rFonts w:eastAsia="Times New Roman"/>
          <w:szCs w:val="24"/>
        </w:rPr>
      </w:pPr>
      <w:r w:rsidRPr="00C5092E">
        <w:rPr>
          <w:rFonts w:eastAsia="Times New Roman"/>
          <w:szCs w:val="24"/>
        </w:rPr>
        <w:t>Reduce the future college attrition rate in four- and two-year engineering and engineering technology programs.</w:t>
      </w:r>
    </w:p>
    <w:p w:rsidR="00C5092E" w:rsidRPr="00C5092E" w:rsidRDefault="00C5092E" w:rsidP="00C5092E">
      <w:pPr>
        <w:numPr>
          <w:ilvl w:val="0"/>
          <w:numId w:val="1"/>
        </w:numPr>
        <w:spacing w:before="100" w:beforeAutospacing="1" w:after="240" w:line="255" w:lineRule="atLeast"/>
        <w:rPr>
          <w:rFonts w:eastAsia="Times New Roman"/>
          <w:szCs w:val="24"/>
        </w:rPr>
      </w:pPr>
      <w:r w:rsidRPr="00C5092E">
        <w:rPr>
          <w:rFonts w:eastAsia="Times New Roman"/>
          <w:szCs w:val="24"/>
        </w:rPr>
        <w:t>Provide leadership and support that will produce continuous improvement and innovation in Science, Technology, Engineering, and Mathematics (STEM) programs.</w:t>
      </w:r>
    </w:p>
    <w:p w:rsidR="00C5092E" w:rsidRPr="00C5092E" w:rsidRDefault="00C5092E" w:rsidP="00C5092E">
      <w:pPr>
        <w:numPr>
          <w:ilvl w:val="0"/>
          <w:numId w:val="1"/>
        </w:numPr>
        <w:spacing w:before="100" w:beforeAutospacing="1" w:after="100" w:afterAutospacing="1" w:line="255" w:lineRule="atLeast"/>
        <w:rPr>
          <w:rFonts w:eastAsia="Times New Roman"/>
          <w:szCs w:val="24"/>
        </w:rPr>
      </w:pPr>
      <w:r w:rsidRPr="00C5092E">
        <w:rPr>
          <w:rFonts w:eastAsia="Times New Roman"/>
          <w:szCs w:val="24"/>
        </w:rPr>
        <w:t xml:space="preserve">Contribute to the continued vitality of the </w:t>
      </w:r>
      <w:r w:rsidR="00E67EE9" w:rsidRPr="00C5092E">
        <w:rPr>
          <w:rFonts w:eastAsia="Times New Roman"/>
          <w:szCs w:val="24"/>
        </w:rPr>
        <w:t>nation’s</w:t>
      </w:r>
      <w:r w:rsidRPr="00C5092E">
        <w:rPr>
          <w:rFonts w:eastAsia="Times New Roman"/>
          <w:szCs w:val="24"/>
        </w:rPr>
        <w:t xml:space="preserve"> prosperity. </w:t>
      </w:r>
    </w:p>
    <w:p w:rsidR="00C5092E" w:rsidRPr="00C5092E" w:rsidRDefault="00C5092E" w:rsidP="00C5092E">
      <w:pPr>
        <w:rPr>
          <w:szCs w:val="24"/>
        </w:rPr>
      </w:pPr>
      <w:r>
        <w:rPr>
          <w:szCs w:val="24"/>
        </w:rPr>
        <w:t>To date, tracks have been developed in engineering and in biomedical sciences.  The engineering curriculum has been implemented in SD</w:t>
      </w:r>
      <w:r w:rsidR="003D327D">
        <w:rPr>
          <w:szCs w:val="24"/>
        </w:rPr>
        <w:t xml:space="preserve">.  </w:t>
      </w:r>
      <w:r w:rsidRPr="00C5092E">
        <w:rPr>
          <w:szCs w:val="24"/>
        </w:rPr>
        <w:t xml:space="preserve">   </w:t>
      </w:r>
    </w:p>
    <w:p w:rsidR="00C5092E" w:rsidRPr="00C5092E" w:rsidRDefault="00C5092E" w:rsidP="00C5092E">
      <w:pPr>
        <w:rPr>
          <w:szCs w:val="24"/>
        </w:rPr>
      </w:pPr>
    </w:p>
    <w:p w:rsidR="00C5092E" w:rsidRPr="00C5092E" w:rsidRDefault="00C5092E" w:rsidP="00C5092E">
      <w:pPr>
        <w:autoSpaceDE w:val="0"/>
        <w:autoSpaceDN w:val="0"/>
        <w:adjustRightInd w:val="0"/>
        <w:jc w:val="both"/>
        <w:rPr>
          <w:szCs w:val="24"/>
        </w:rPr>
      </w:pPr>
      <w:r w:rsidRPr="00C5092E">
        <w:rPr>
          <w:szCs w:val="24"/>
        </w:rPr>
        <w:t>AAC discussed the award of college credit for students completing the high school courses offered under the umbrella of this Project. According to the PLTW web site, several universities throughout the country do offer college credit for the courses (</w:t>
      </w:r>
      <w:hyperlink r:id="rId5" w:history="1">
        <w:r w:rsidRPr="00C5092E">
          <w:rPr>
            <w:rStyle w:val="Hyperlink"/>
            <w:color w:val="auto"/>
            <w:szCs w:val="24"/>
          </w:rPr>
          <w:t>http://www.pltw.org/index.cfm</w:t>
        </w:r>
      </w:hyperlink>
      <w:r w:rsidRPr="00C5092E">
        <w:rPr>
          <w:szCs w:val="24"/>
          <w:u w:val="single"/>
        </w:rPr>
        <w:t xml:space="preserve">). </w:t>
      </w:r>
      <w:r w:rsidRPr="00C5092E">
        <w:rPr>
          <w:szCs w:val="24"/>
        </w:rPr>
        <w:t xml:space="preserve"> </w:t>
      </w:r>
      <w:r w:rsidR="003D327D">
        <w:rPr>
          <w:szCs w:val="24"/>
        </w:rPr>
        <w:t>T</w:t>
      </w:r>
      <w:r w:rsidRPr="00C5092E">
        <w:rPr>
          <w:szCs w:val="24"/>
        </w:rPr>
        <w:t>his appears be quite similar to the approach currently taken with AP courses, DANTES or IB coursework.  In these cases, faculty review the curriculum and the assessments and decide what “scores” are needed if credit (not a grade) is to be awarded.  It was agreed that staff from SDSU and from Mines would do this and forward recommendations for consideration.</w:t>
      </w:r>
      <w:r w:rsidR="00957A66">
        <w:rPr>
          <w:szCs w:val="24"/>
        </w:rPr>
        <w:t xml:space="preserve">  These are attached.</w:t>
      </w:r>
    </w:p>
    <w:p w:rsidR="00C5092E" w:rsidRPr="00C5092E" w:rsidRDefault="00C5092E" w:rsidP="00C5092E">
      <w:pPr>
        <w:autoSpaceDE w:val="0"/>
        <w:autoSpaceDN w:val="0"/>
        <w:adjustRightInd w:val="0"/>
        <w:jc w:val="both"/>
        <w:rPr>
          <w:szCs w:val="24"/>
        </w:rPr>
      </w:pPr>
    </w:p>
    <w:p w:rsidR="00C5092E" w:rsidRDefault="00957A66">
      <w:pPr>
        <w:rPr>
          <w:szCs w:val="24"/>
        </w:rPr>
      </w:pPr>
      <w:r>
        <w:rPr>
          <w:szCs w:val="24"/>
        </w:rPr>
        <w:t>AAC has reviewed these and recommends that if the students complete the PLTW courses</w:t>
      </w:r>
      <w:r w:rsidR="00BC7918">
        <w:rPr>
          <w:szCs w:val="24"/>
        </w:rPr>
        <w:t>,</w:t>
      </w:r>
      <w:r>
        <w:rPr>
          <w:szCs w:val="24"/>
        </w:rPr>
        <w:t xml:space="preserve"> Introduction to Engineering Design, Principles of Engineering, and </w:t>
      </w:r>
      <w:r w:rsidR="00BC7918">
        <w:rPr>
          <w:szCs w:val="24"/>
        </w:rPr>
        <w:t>Engineering Design and Development, credit be awarded if the established conditions are met and if the outlined processes are followed.</w:t>
      </w:r>
    </w:p>
    <w:p w:rsidR="00BC7918" w:rsidRDefault="00BC7918">
      <w:pPr>
        <w:rPr>
          <w:szCs w:val="24"/>
        </w:rPr>
      </w:pPr>
    </w:p>
    <w:p w:rsidR="00BC7918" w:rsidRDefault="00BC7918">
      <w:pPr>
        <w:rPr>
          <w:szCs w:val="24"/>
        </w:rPr>
      </w:pPr>
      <w:r>
        <w:rPr>
          <w:szCs w:val="24"/>
        </w:rPr>
        <w:br w:type="page"/>
      </w:r>
    </w:p>
    <w:p w:rsidR="00BC7918" w:rsidRPr="00B85473" w:rsidRDefault="00BC7918" w:rsidP="00BC7918">
      <w:pPr>
        <w:rPr>
          <w:b/>
        </w:rPr>
      </w:pPr>
      <w:r w:rsidRPr="00B85473">
        <w:rPr>
          <w:b/>
        </w:rPr>
        <w:lastRenderedPageBreak/>
        <w:t>South Dakota State University</w:t>
      </w:r>
    </w:p>
    <w:p w:rsidR="00BC7918" w:rsidRPr="006C42EF" w:rsidRDefault="00BC7918" w:rsidP="00BC7918">
      <w:pPr>
        <w:rPr>
          <w:b/>
        </w:rPr>
      </w:pPr>
      <w:r w:rsidRPr="006C42EF">
        <w:rPr>
          <w:b/>
        </w:rPr>
        <w:t>Project Lead The Way</w:t>
      </w:r>
      <w:r>
        <w:rPr>
          <w:b/>
        </w:rPr>
        <w:t>:  Course Equivalency Credit</w:t>
      </w:r>
    </w:p>
    <w:p w:rsidR="00BC7918" w:rsidRDefault="00BC7918" w:rsidP="00BC7918"/>
    <w:p w:rsidR="00BC7918" w:rsidRDefault="00BC7918" w:rsidP="00BC7918">
      <w:r>
        <w:t xml:space="preserve">Credit can be received in certain subjects through a variety of nationally recognized examinations including Advanced Placement, International Baccalaureate, CLEP and, now, Project Lead The Way. </w:t>
      </w:r>
    </w:p>
    <w:p w:rsidR="00BC7918" w:rsidRDefault="00BC7918" w:rsidP="00BC7918"/>
    <w:p w:rsidR="00BC7918" w:rsidRDefault="00BC7918" w:rsidP="00BC7918">
      <w:r>
        <w:t xml:space="preserve">Once enrolled, students successfully completing Project Lead the Way (PLTW) courses may apply for college credit from South Dakota State University.  </w:t>
      </w:r>
      <w:r w:rsidR="00E67EE9">
        <w:t>T</w:t>
      </w:r>
      <w:r>
        <w:t xml:space="preserve">hree (3) semester credits can be awarded in the topic area of General Engineering and is subject to the following conditions:  </w:t>
      </w:r>
    </w:p>
    <w:p w:rsidR="00BC7918" w:rsidRDefault="00BC7918" w:rsidP="00BC7918"/>
    <w:p w:rsidR="00BC7918" w:rsidRDefault="00BC7918" w:rsidP="00BC7918">
      <w:pPr>
        <w:numPr>
          <w:ilvl w:val="0"/>
          <w:numId w:val="2"/>
        </w:numPr>
      </w:pPr>
      <w:r>
        <w:t>The student’s high school must be certified by PLTW.</w:t>
      </w:r>
    </w:p>
    <w:p w:rsidR="00BC7918" w:rsidRDefault="00BC7918" w:rsidP="00BC7918">
      <w:pPr>
        <w:numPr>
          <w:ilvl w:val="0"/>
          <w:numId w:val="2"/>
        </w:numPr>
      </w:pPr>
      <w:r>
        <w:t xml:space="preserve">The student has earned a grade of </w:t>
      </w:r>
      <w:r w:rsidRPr="00A65E29">
        <w:rPr>
          <w:b/>
        </w:rPr>
        <w:t>85% or higher</w:t>
      </w:r>
      <w:r>
        <w:t xml:space="preserve"> on any PLTW courses</w:t>
      </w:r>
    </w:p>
    <w:p w:rsidR="00BC7918" w:rsidRDefault="00BC7918" w:rsidP="00BC7918">
      <w:pPr>
        <w:numPr>
          <w:ilvl w:val="0"/>
          <w:numId w:val="2"/>
        </w:numPr>
      </w:pPr>
      <w:r>
        <w:t xml:space="preserve">The college credit exam must be taken and passed with a grade </w:t>
      </w:r>
      <w:r w:rsidRPr="0014541A">
        <w:rPr>
          <w:b/>
        </w:rPr>
        <w:t xml:space="preserve">of at least </w:t>
      </w:r>
      <w:r w:rsidRPr="00A65E29">
        <w:rPr>
          <w:b/>
        </w:rPr>
        <w:t>70%.</w:t>
      </w:r>
      <w:r>
        <w:t xml:space="preserve">  </w:t>
      </w:r>
    </w:p>
    <w:p w:rsidR="00BC7918" w:rsidRPr="00EC5C24" w:rsidRDefault="00BC7918" w:rsidP="00BC7918">
      <w:pPr>
        <w:numPr>
          <w:ilvl w:val="0"/>
          <w:numId w:val="2"/>
        </w:numPr>
      </w:pPr>
      <w:r w:rsidRPr="00EC5C24">
        <w:t>The student has successfully completed all three courses in the sequence.</w:t>
      </w:r>
    </w:p>
    <w:p w:rsidR="00BC7918" w:rsidRPr="00EC5C24" w:rsidRDefault="00BC7918" w:rsidP="00BC7918">
      <w:r w:rsidRPr="00EC5C24">
        <w:tab/>
      </w:r>
    </w:p>
    <w:p w:rsidR="00BC7918" w:rsidRPr="00EC5C24" w:rsidRDefault="00BC7918" w:rsidP="00BC7918">
      <w:r w:rsidRPr="00EC5C24">
        <w:t>To apply for credit at Academic Evaluation and Assessment:</w:t>
      </w:r>
    </w:p>
    <w:p w:rsidR="00BC7918" w:rsidRPr="00EC5C24" w:rsidRDefault="00BC7918" w:rsidP="00BC7918"/>
    <w:p w:rsidR="00BC7918" w:rsidRPr="00EC5C24" w:rsidRDefault="00BC7918" w:rsidP="00BC7918">
      <w:pPr>
        <w:numPr>
          <w:ilvl w:val="0"/>
          <w:numId w:val="3"/>
        </w:numPr>
      </w:pPr>
      <w:r w:rsidRPr="00EC5C24">
        <w:t xml:space="preserve">Bring a copy of your PLTW transcript verifying the grades and exam score—documentation from the school.  This will include a “Grade Verification” form that has been signed by the teacher.  </w:t>
      </w:r>
    </w:p>
    <w:p w:rsidR="00BC7918" w:rsidRDefault="00BC7918" w:rsidP="00BC7918">
      <w:pPr>
        <w:numPr>
          <w:ilvl w:val="0"/>
          <w:numId w:val="3"/>
        </w:numPr>
      </w:pPr>
      <w:r w:rsidRPr="00EC5C24">
        <w:t>Complete the SDSU “Application</w:t>
      </w:r>
      <w:r>
        <w:t xml:space="preserve"> for Placement Credit” form</w:t>
      </w:r>
    </w:p>
    <w:p w:rsidR="00BC7918" w:rsidRDefault="00BC7918" w:rsidP="00BC7918">
      <w:pPr>
        <w:numPr>
          <w:ilvl w:val="0"/>
          <w:numId w:val="3"/>
        </w:numPr>
      </w:pPr>
      <w:r>
        <w:t xml:space="preserve">Pay a fee of [TBD].  </w:t>
      </w:r>
    </w:p>
    <w:p w:rsidR="00BC7918" w:rsidRDefault="00BC7918" w:rsidP="00BC7918"/>
    <w:p w:rsidR="00BC7918" w:rsidRDefault="00BC7918" w:rsidP="00BC7918">
      <w:r>
        <w:t>When these steps have been completed, the equivalent course will be recorded on your transcript with an “EX” satisfactory grade for the appropriate number of credits.</w:t>
      </w:r>
      <w:r>
        <w:tab/>
      </w:r>
    </w:p>
    <w:p w:rsidR="00BC7918" w:rsidRDefault="00BC7918" w:rsidP="00BC7918"/>
    <w:p w:rsidR="00BC7918" w:rsidRDefault="00BC7918" w:rsidP="00BC7918"/>
    <w:p w:rsidR="00BC7918" w:rsidRDefault="00BC7918" w:rsidP="00BC7918">
      <w:r>
        <w:t>Project Lead the Way Equivalency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8"/>
        <w:gridCol w:w="1620"/>
        <w:gridCol w:w="2880"/>
        <w:gridCol w:w="1188"/>
      </w:tblGrid>
      <w:tr w:rsidR="00BC7918" w:rsidTr="00C50D7B">
        <w:tc>
          <w:tcPr>
            <w:tcW w:w="3168" w:type="dxa"/>
            <w:shd w:val="clear" w:color="auto" w:fill="DAE7F6"/>
          </w:tcPr>
          <w:p w:rsidR="00BC7918" w:rsidRPr="00EC5C24" w:rsidRDefault="00BC7918" w:rsidP="00C50D7B">
            <w:pPr>
              <w:jc w:val="both"/>
              <w:rPr>
                <w:b/>
                <w:sz w:val="18"/>
                <w:szCs w:val="18"/>
              </w:rPr>
            </w:pPr>
            <w:r>
              <w:rPr>
                <w:b/>
                <w:sz w:val="18"/>
                <w:szCs w:val="18"/>
              </w:rPr>
              <w:t xml:space="preserve">PLTW </w:t>
            </w:r>
            <w:r w:rsidRPr="00EC5C24">
              <w:rPr>
                <w:b/>
                <w:sz w:val="18"/>
                <w:szCs w:val="18"/>
              </w:rPr>
              <w:t>courses</w:t>
            </w:r>
          </w:p>
        </w:tc>
        <w:tc>
          <w:tcPr>
            <w:tcW w:w="1620" w:type="dxa"/>
            <w:shd w:val="clear" w:color="auto" w:fill="DAE7F6"/>
          </w:tcPr>
          <w:p w:rsidR="00BC7918" w:rsidRPr="00EC5C24" w:rsidRDefault="00BC7918" w:rsidP="00C50D7B">
            <w:pPr>
              <w:jc w:val="both"/>
              <w:rPr>
                <w:b/>
                <w:sz w:val="18"/>
                <w:szCs w:val="18"/>
              </w:rPr>
            </w:pPr>
            <w:r w:rsidRPr="00EC5C24">
              <w:rPr>
                <w:b/>
                <w:sz w:val="18"/>
                <w:szCs w:val="18"/>
              </w:rPr>
              <w:t>Required Score</w:t>
            </w:r>
          </w:p>
        </w:tc>
        <w:tc>
          <w:tcPr>
            <w:tcW w:w="2880" w:type="dxa"/>
            <w:shd w:val="clear" w:color="auto" w:fill="DAE7F6"/>
          </w:tcPr>
          <w:p w:rsidR="00BC7918" w:rsidRPr="00EC5C24" w:rsidRDefault="00BC7918" w:rsidP="00C50D7B">
            <w:pPr>
              <w:jc w:val="both"/>
              <w:rPr>
                <w:b/>
                <w:sz w:val="18"/>
                <w:szCs w:val="18"/>
              </w:rPr>
            </w:pPr>
            <w:r w:rsidRPr="00EC5C24">
              <w:rPr>
                <w:b/>
                <w:sz w:val="18"/>
                <w:szCs w:val="18"/>
              </w:rPr>
              <w:t>SDSU Course Equivalent</w:t>
            </w:r>
          </w:p>
        </w:tc>
        <w:tc>
          <w:tcPr>
            <w:tcW w:w="1188" w:type="dxa"/>
            <w:shd w:val="clear" w:color="auto" w:fill="DAE7F6"/>
          </w:tcPr>
          <w:p w:rsidR="00BC7918" w:rsidRPr="00EC5C24" w:rsidRDefault="00BC7918" w:rsidP="00C50D7B">
            <w:pPr>
              <w:jc w:val="both"/>
              <w:rPr>
                <w:b/>
                <w:sz w:val="18"/>
                <w:szCs w:val="18"/>
              </w:rPr>
            </w:pPr>
            <w:r w:rsidRPr="00EC5C24">
              <w:rPr>
                <w:b/>
                <w:sz w:val="18"/>
                <w:szCs w:val="18"/>
              </w:rPr>
              <w:t>Credit</w:t>
            </w:r>
          </w:p>
        </w:tc>
      </w:tr>
      <w:tr w:rsidR="00BC7918" w:rsidTr="00C50D7B">
        <w:trPr>
          <w:trHeight w:val="300"/>
        </w:trPr>
        <w:tc>
          <w:tcPr>
            <w:tcW w:w="3168" w:type="dxa"/>
            <w:vAlign w:val="center"/>
          </w:tcPr>
          <w:p w:rsidR="00BC7918" w:rsidRPr="003B6B09" w:rsidRDefault="00BC7918" w:rsidP="00C50D7B">
            <w:pPr>
              <w:rPr>
                <w:sz w:val="20"/>
                <w:szCs w:val="20"/>
              </w:rPr>
            </w:pPr>
            <w:r w:rsidRPr="003B6B09">
              <w:rPr>
                <w:sz w:val="20"/>
                <w:szCs w:val="20"/>
              </w:rPr>
              <w:t>Intro to Engineering Design</w:t>
            </w:r>
          </w:p>
        </w:tc>
        <w:tc>
          <w:tcPr>
            <w:tcW w:w="1620" w:type="dxa"/>
            <w:vMerge w:val="restart"/>
            <w:vAlign w:val="center"/>
          </w:tcPr>
          <w:p w:rsidR="00BC7918" w:rsidRPr="003B6B09" w:rsidRDefault="00BC7918" w:rsidP="00C50D7B">
            <w:pPr>
              <w:jc w:val="center"/>
              <w:rPr>
                <w:sz w:val="20"/>
                <w:szCs w:val="20"/>
              </w:rPr>
            </w:pPr>
            <w:r>
              <w:rPr>
                <w:sz w:val="20"/>
                <w:szCs w:val="20"/>
              </w:rPr>
              <w:t xml:space="preserve">85% for Course &amp; </w:t>
            </w:r>
            <w:r w:rsidRPr="003B6B09">
              <w:rPr>
                <w:sz w:val="20"/>
                <w:szCs w:val="20"/>
              </w:rPr>
              <w:t>70% on PLTW Course Exam</w:t>
            </w:r>
          </w:p>
        </w:tc>
        <w:tc>
          <w:tcPr>
            <w:tcW w:w="2880" w:type="dxa"/>
            <w:vMerge w:val="restart"/>
            <w:vAlign w:val="center"/>
          </w:tcPr>
          <w:p w:rsidR="00BC7918" w:rsidRPr="003B6B09" w:rsidRDefault="00BC7918" w:rsidP="00C50D7B">
            <w:pPr>
              <w:jc w:val="center"/>
              <w:rPr>
                <w:sz w:val="20"/>
                <w:szCs w:val="20"/>
              </w:rPr>
            </w:pPr>
            <w:r w:rsidRPr="003B6B09">
              <w:rPr>
                <w:sz w:val="20"/>
                <w:szCs w:val="20"/>
              </w:rPr>
              <w:t>GE121, GE122, GE123</w:t>
            </w:r>
          </w:p>
        </w:tc>
        <w:tc>
          <w:tcPr>
            <w:tcW w:w="1188" w:type="dxa"/>
            <w:vMerge w:val="restart"/>
            <w:vAlign w:val="center"/>
          </w:tcPr>
          <w:p w:rsidR="00BC7918" w:rsidRPr="003B6B09" w:rsidRDefault="00BC7918" w:rsidP="00C50D7B">
            <w:pPr>
              <w:jc w:val="center"/>
              <w:rPr>
                <w:sz w:val="20"/>
                <w:szCs w:val="20"/>
              </w:rPr>
            </w:pPr>
            <w:r w:rsidRPr="003B6B09">
              <w:rPr>
                <w:sz w:val="20"/>
                <w:szCs w:val="20"/>
              </w:rPr>
              <w:t>3 credits</w:t>
            </w:r>
          </w:p>
        </w:tc>
      </w:tr>
      <w:tr w:rsidR="00BC7918" w:rsidTr="00C50D7B">
        <w:trPr>
          <w:trHeight w:val="300"/>
        </w:trPr>
        <w:tc>
          <w:tcPr>
            <w:tcW w:w="3168" w:type="dxa"/>
            <w:vAlign w:val="center"/>
          </w:tcPr>
          <w:p w:rsidR="00BC7918" w:rsidRPr="003B6B09" w:rsidRDefault="00BC7918" w:rsidP="00C50D7B">
            <w:pPr>
              <w:rPr>
                <w:sz w:val="20"/>
                <w:szCs w:val="20"/>
              </w:rPr>
            </w:pPr>
            <w:r w:rsidRPr="003B6B09">
              <w:rPr>
                <w:sz w:val="20"/>
                <w:szCs w:val="20"/>
              </w:rPr>
              <w:t>Principles of Engineering</w:t>
            </w:r>
          </w:p>
        </w:tc>
        <w:tc>
          <w:tcPr>
            <w:tcW w:w="1620" w:type="dxa"/>
            <w:vMerge/>
          </w:tcPr>
          <w:p w:rsidR="00BC7918" w:rsidRPr="003B6B09" w:rsidRDefault="00BC7918" w:rsidP="00C50D7B">
            <w:pPr>
              <w:rPr>
                <w:sz w:val="20"/>
                <w:szCs w:val="20"/>
              </w:rPr>
            </w:pPr>
          </w:p>
        </w:tc>
        <w:tc>
          <w:tcPr>
            <w:tcW w:w="2880" w:type="dxa"/>
            <w:vMerge/>
          </w:tcPr>
          <w:p w:rsidR="00BC7918" w:rsidRDefault="00BC7918" w:rsidP="00C50D7B"/>
        </w:tc>
        <w:tc>
          <w:tcPr>
            <w:tcW w:w="1188" w:type="dxa"/>
            <w:vMerge/>
          </w:tcPr>
          <w:p w:rsidR="00BC7918" w:rsidRDefault="00BC7918" w:rsidP="00C50D7B"/>
        </w:tc>
      </w:tr>
      <w:tr w:rsidR="00BC7918" w:rsidTr="00C50D7B">
        <w:trPr>
          <w:trHeight w:val="300"/>
        </w:trPr>
        <w:tc>
          <w:tcPr>
            <w:tcW w:w="3168" w:type="dxa"/>
            <w:vAlign w:val="center"/>
          </w:tcPr>
          <w:p w:rsidR="00BC7918" w:rsidRPr="003B6B09" w:rsidRDefault="00BC7918" w:rsidP="00C50D7B">
            <w:pPr>
              <w:rPr>
                <w:sz w:val="20"/>
                <w:szCs w:val="20"/>
              </w:rPr>
            </w:pPr>
            <w:r w:rsidRPr="003B6B09">
              <w:rPr>
                <w:sz w:val="20"/>
                <w:szCs w:val="20"/>
              </w:rPr>
              <w:t>Engineering Design &amp; Development</w:t>
            </w:r>
          </w:p>
        </w:tc>
        <w:tc>
          <w:tcPr>
            <w:tcW w:w="1620" w:type="dxa"/>
            <w:vMerge/>
          </w:tcPr>
          <w:p w:rsidR="00BC7918" w:rsidRPr="003B6B09" w:rsidRDefault="00BC7918" w:rsidP="00C50D7B">
            <w:pPr>
              <w:rPr>
                <w:sz w:val="20"/>
                <w:szCs w:val="20"/>
              </w:rPr>
            </w:pPr>
          </w:p>
        </w:tc>
        <w:tc>
          <w:tcPr>
            <w:tcW w:w="2880" w:type="dxa"/>
            <w:vMerge/>
          </w:tcPr>
          <w:p w:rsidR="00BC7918" w:rsidRDefault="00BC7918" w:rsidP="00C50D7B"/>
        </w:tc>
        <w:tc>
          <w:tcPr>
            <w:tcW w:w="1188" w:type="dxa"/>
            <w:vMerge/>
          </w:tcPr>
          <w:p w:rsidR="00BC7918" w:rsidRDefault="00BC7918" w:rsidP="00C50D7B"/>
        </w:tc>
      </w:tr>
    </w:tbl>
    <w:p w:rsidR="00BC7918" w:rsidRDefault="00BC7918" w:rsidP="00BC7918"/>
    <w:p w:rsidR="00BC7918" w:rsidRDefault="00BC7918" w:rsidP="00BC7918">
      <w:pPr>
        <w:rPr>
          <w:b/>
        </w:rPr>
      </w:pPr>
      <w:r>
        <w:rPr>
          <w:b/>
        </w:rPr>
        <w:br w:type="page"/>
      </w:r>
      <w:r>
        <w:rPr>
          <w:b/>
        </w:rPr>
        <w:lastRenderedPageBreak/>
        <w:t>South Dakota School of Mines and Technology</w:t>
      </w:r>
    </w:p>
    <w:p w:rsidR="00BC7918" w:rsidRPr="006C42EF" w:rsidRDefault="00BC7918" w:rsidP="00BC7918">
      <w:pPr>
        <w:rPr>
          <w:b/>
        </w:rPr>
      </w:pPr>
      <w:r w:rsidRPr="006C42EF">
        <w:rPr>
          <w:b/>
        </w:rPr>
        <w:t>Project Lead The Way</w:t>
      </w:r>
      <w:r>
        <w:rPr>
          <w:b/>
        </w:rPr>
        <w:t>:  Course Equivalency Credit</w:t>
      </w:r>
    </w:p>
    <w:p w:rsidR="00BC7918" w:rsidRDefault="00BC7918" w:rsidP="00BC7918"/>
    <w:p w:rsidR="00BC7918" w:rsidRDefault="00BC7918" w:rsidP="00BC7918">
      <w:r>
        <w:t xml:space="preserve">Credit can be received in certain subjects through a variety of nationally recognized examinations including Advanced Placement, International Baccalaureate, CLEP and, now, Project Lead The Way. </w:t>
      </w:r>
    </w:p>
    <w:p w:rsidR="00BC7918" w:rsidRDefault="00BC7918" w:rsidP="00BC7918"/>
    <w:p w:rsidR="00BC7918" w:rsidRDefault="00BC7918" w:rsidP="00BC7918">
      <w:r>
        <w:t xml:space="preserve">Once enrolled, students successfully completing Project Lead the Way (PLTW) courses may apply for college credit from the South Dakota School of Mines and Technology. </w:t>
      </w:r>
      <w:r w:rsidR="00E67EE9">
        <w:t>Th</w:t>
      </w:r>
      <w:r>
        <w:t xml:space="preserve">ree (3) semester credits can be awarded in the topic area of General Engineering and is subject to the following conditions:  </w:t>
      </w:r>
    </w:p>
    <w:p w:rsidR="00BC7918" w:rsidRDefault="00BC7918" w:rsidP="00BC7918"/>
    <w:p w:rsidR="00BC7918" w:rsidRDefault="00BC7918" w:rsidP="00BC7918">
      <w:pPr>
        <w:numPr>
          <w:ilvl w:val="0"/>
          <w:numId w:val="2"/>
        </w:numPr>
      </w:pPr>
      <w:r>
        <w:t>The student’s high school must be certified by PLTW.</w:t>
      </w:r>
    </w:p>
    <w:p w:rsidR="00BC7918" w:rsidRDefault="00BC7918" w:rsidP="00BC7918">
      <w:pPr>
        <w:numPr>
          <w:ilvl w:val="0"/>
          <w:numId w:val="2"/>
        </w:numPr>
      </w:pPr>
      <w:r>
        <w:t xml:space="preserve">The student has earned a grade of </w:t>
      </w:r>
      <w:r w:rsidRPr="00A65E29">
        <w:rPr>
          <w:b/>
        </w:rPr>
        <w:t>85% or higher</w:t>
      </w:r>
      <w:r>
        <w:t xml:space="preserve"> on any PLTW courses</w:t>
      </w:r>
    </w:p>
    <w:p w:rsidR="00BC7918" w:rsidRDefault="00BC7918" w:rsidP="00BC7918">
      <w:pPr>
        <w:numPr>
          <w:ilvl w:val="0"/>
          <w:numId w:val="2"/>
        </w:numPr>
      </w:pPr>
      <w:r>
        <w:t xml:space="preserve">The college credit exam must be taken and passed with a grade </w:t>
      </w:r>
      <w:r w:rsidRPr="0014541A">
        <w:rPr>
          <w:b/>
        </w:rPr>
        <w:t xml:space="preserve">of at least </w:t>
      </w:r>
      <w:r w:rsidRPr="00A65E29">
        <w:rPr>
          <w:b/>
        </w:rPr>
        <w:t>70%.</w:t>
      </w:r>
      <w:r>
        <w:t xml:space="preserve">  </w:t>
      </w:r>
    </w:p>
    <w:p w:rsidR="00BC7918" w:rsidRPr="00EC5C24" w:rsidRDefault="00BC7918" w:rsidP="00BC7918">
      <w:pPr>
        <w:numPr>
          <w:ilvl w:val="0"/>
          <w:numId w:val="2"/>
        </w:numPr>
      </w:pPr>
      <w:r w:rsidRPr="00EC5C24">
        <w:t>The student has successfully completed all three courses in the sequence.</w:t>
      </w:r>
    </w:p>
    <w:p w:rsidR="00BC7918" w:rsidRPr="00EC5C24" w:rsidRDefault="00BC7918" w:rsidP="00BC7918">
      <w:r w:rsidRPr="00EC5C24">
        <w:tab/>
      </w:r>
    </w:p>
    <w:p w:rsidR="00BC7918" w:rsidRPr="00EC5C24" w:rsidRDefault="00BC7918" w:rsidP="00BC7918">
      <w:r w:rsidRPr="00EC5C24">
        <w:t>To apply for credit at Academic Evaluation and Assessment:</w:t>
      </w:r>
    </w:p>
    <w:p w:rsidR="00BC7918" w:rsidRPr="00EC5C24" w:rsidRDefault="00BC7918" w:rsidP="00BC7918"/>
    <w:p w:rsidR="00BC7918" w:rsidRPr="00EC5C24" w:rsidRDefault="00BC7918" w:rsidP="00BC7918">
      <w:pPr>
        <w:numPr>
          <w:ilvl w:val="0"/>
          <w:numId w:val="3"/>
        </w:numPr>
      </w:pPr>
      <w:r w:rsidRPr="00EC5C24">
        <w:t xml:space="preserve">Bring </w:t>
      </w:r>
      <w:r>
        <w:t xml:space="preserve">or send </w:t>
      </w:r>
      <w:r w:rsidRPr="00EC5C24">
        <w:t>a copy of your PLTW transcript verifying the grades and exam score—documentation from the school</w:t>
      </w:r>
      <w:r>
        <w:t xml:space="preserve"> to the Academic and Enrollment Services Office, Room 201, O’Harra Building</w:t>
      </w:r>
      <w:r w:rsidRPr="00EC5C24">
        <w:t xml:space="preserve">.  This </w:t>
      </w:r>
      <w:r>
        <w:t>must</w:t>
      </w:r>
      <w:r w:rsidRPr="00EC5C24">
        <w:t xml:space="preserve"> include a “Grade Verification” form that has been signed by the teacher.  </w:t>
      </w:r>
    </w:p>
    <w:p w:rsidR="00BC7918" w:rsidRDefault="00BC7918" w:rsidP="00BC7918">
      <w:pPr>
        <w:numPr>
          <w:ilvl w:val="0"/>
          <w:numId w:val="3"/>
        </w:numPr>
      </w:pPr>
      <w:r>
        <w:t xml:space="preserve">Pay a fee of [TBD].  </w:t>
      </w:r>
    </w:p>
    <w:p w:rsidR="00BC7918" w:rsidRDefault="00BC7918" w:rsidP="00BC7918"/>
    <w:p w:rsidR="00BC7918" w:rsidRDefault="00BC7918" w:rsidP="00BC7918">
      <w:r>
        <w:t>When these steps have been completed, the equivalent course will be recorded on your transcript with an “EX” satisfactory grade for the appropriate number of credits.</w:t>
      </w:r>
      <w:r>
        <w:tab/>
      </w:r>
    </w:p>
    <w:p w:rsidR="00BC7918" w:rsidRDefault="00BC7918" w:rsidP="00BC7918"/>
    <w:p w:rsidR="00BC7918" w:rsidRDefault="00BC7918" w:rsidP="00BC7918"/>
    <w:p w:rsidR="00BC7918" w:rsidRDefault="00BC7918" w:rsidP="00BC7918">
      <w:r>
        <w:t>Project Lead the Way Equivalency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8"/>
        <w:gridCol w:w="1620"/>
        <w:gridCol w:w="2880"/>
        <w:gridCol w:w="1188"/>
      </w:tblGrid>
      <w:tr w:rsidR="00BC7918" w:rsidTr="00C50D7B">
        <w:tc>
          <w:tcPr>
            <w:tcW w:w="3168" w:type="dxa"/>
            <w:shd w:val="clear" w:color="auto" w:fill="DAE7F6"/>
          </w:tcPr>
          <w:p w:rsidR="00BC7918" w:rsidRPr="00EC5C24" w:rsidRDefault="00BC7918" w:rsidP="00C50D7B">
            <w:pPr>
              <w:jc w:val="both"/>
              <w:rPr>
                <w:b/>
                <w:sz w:val="18"/>
                <w:szCs w:val="18"/>
              </w:rPr>
            </w:pPr>
            <w:r>
              <w:rPr>
                <w:b/>
                <w:sz w:val="18"/>
                <w:szCs w:val="18"/>
              </w:rPr>
              <w:t xml:space="preserve">PLTW </w:t>
            </w:r>
            <w:r w:rsidRPr="00EC5C24">
              <w:rPr>
                <w:b/>
                <w:sz w:val="18"/>
                <w:szCs w:val="18"/>
              </w:rPr>
              <w:t>courses</w:t>
            </w:r>
          </w:p>
        </w:tc>
        <w:tc>
          <w:tcPr>
            <w:tcW w:w="1620" w:type="dxa"/>
            <w:shd w:val="clear" w:color="auto" w:fill="DAE7F6"/>
          </w:tcPr>
          <w:p w:rsidR="00BC7918" w:rsidRPr="00EC5C24" w:rsidRDefault="00BC7918" w:rsidP="00C50D7B">
            <w:pPr>
              <w:jc w:val="both"/>
              <w:rPr>
                <w:b/>
                <w:sz w:val="18"/>
                <w:szCs w:val="18"/>
              </w:rPr>
            </w:pPr>
            <w:r w:rsidRPr="00EC5C24">
              <w:rPr>
                <w:b/>
                <w:sz w:val="18"/>
                <w:szCs w:val="18"/>
              </w:rPr>
              <w:t>Required Score</w:t>
            </w:r>
          </w:p>
        </w:tc>
        <w:tc>
          <w:tcPr>
            <w:tcW w:w="2880" w:type="dxa"/>
            <w:shd w:val="clear" w:color="auto" w:fill="DAE7F6"/>
          </w:tcPr>
          <w:p w:rsidR="00BC7918" w:rsidRPr="00EC5C24" w:rsidRDefault="00BC7918" w:rsidP="00C50D7B">
            <w:pPr>
              <w:jc w:val="both"/>
              <w:rPr>
                <w:b/>
                <w:sz w:val="18"/>
                <w:szCs w:val="18"/>
              </w:rPr>
            </w:pPr>
            <w:r>
              <w:rPr>
                <w:b/>
                <w:sz w:val="18"/>
                <w:szCs w:val="18"/>
              </w:rPr>
              <w:t>SDSMT</w:t>
            </w:r>
            <w:r w:rsidRPr="00EC5C24">
              <w:rPr>
                <w:b/>
                <w:sz w:val="18"/>
                <w:szCs w:val="18"/>
              </w:rPr>
              <w:t xml:space="preserve"> Course Equivalent</w:t>
            </w:r>
          </w:p>
        </w:tc>
        <w:tc>
          <w:tcPr>
            <w:tcW w:w="1188" w:type="dxa"/>
            <w:shd w:val="clear" w:color="auto" w:fill="DAE7F6"/>
          </w:tcPr>
          <w:p w:rsidR="00BC7918" w:rsidRPr="00EC5C24" w:rsidRDefault="00BC7918" w:rsidP="00C50D7B">
            <w:pPr>
              <w:jc w:val="both"/>
              <w:rPr>
                <w:b/>
                <w:sz w:val="18"/>
                <w:szCs w:val="18"/>
              </w:rPr>
            </w:pPr>
            <w:r w:rsidRPr="00EC5C24">
              <w:rPr>
                <w:b/>
                <w:sz w:val="18"/>
                <w:szCs w:val="18"/>
              </w:rPr>
              <w:t>Credit</w:t>
            </w:r>
          </w:p>
        </w:tc>
      </w:tr>
      <w:tr w:rsidR="00BC7918" w:rsidTr="00C50D7B">
        <w:trPr>
          <w:trHeight w:val="300"/>
        </w:trPr>
        <w:tc>
          <w:tcPr>
            <w:tcW w:w="3168" w:type="dxa"/>
            <w:vAlign w:val="center"/>
          </w:tcPr>
          <w:p w:rsidR="00BC7918" w:rsidRPr="003B6B09" w:rsidRDefault="00BC7918" w:rsidP="00C50D7B">
            <w:pPr>
              <w:rPr>
                <w:sz w:val="20"/>
                <w:szCs w:val="20"/>
              </w:rPr>
            </w:pPr>
            <w:r w:rsidRPr="003B6B09">
              <w:rPr>
                <w:sz w:val="20"/>
                <w:szCs w:val="20"/>
              </w:rPr>
              <w:t>Intro to Engineering Design</w:t>
            </w:r>
          </w:p>
        </w:tc>
        <w:tc>
          <w:tcPr>
            <w:tcW w:w="1620" w:type="dxa"/>
            <w:vMerge w:val="restart"/>
            <w:vAlign w:val="center"/>
          </w:tcPr>
          <w:p w:rsidR="00BC7918" w:rsidRPr="003B6B09" w:rsidRDefault="00BC7918" w:rsidP="00C50D7B">
            <w:pPr>
              <w:jc w:val="center"/>
              <w:rPr>
                <w:sz w:val="20"/>
                <w:szCs w:val="20"/>
              </w:rPr>
            </w:pPr>
            <w:r>
              <w:rPr>
                <w:sz w:val="20"/>
                <w:szCs w:val="20"/>
              </w:rPr>
              <w:t xml:space="preserve">85% for Course &amp; </w:t>
            </w:r>
            <w:r w:rsidRPr="003B6B09">
              <w:rPr>
                <w:sz w:val="20"/>
                <w:szCs w:val="20"/>
              </w:rPr>
              <w:t>70% on PLTW Course Exam</w:t>
            </w:r>
          </w:p>
        </w:tc>
        <w:tc>
          <w:tcPr>
            <w:tcW w:w="2880" w:type="dxa"/>
            <w:vMerge w:val="restart"/>
            <w:vAlign w:val="center"/>
          </w:tcPr>
          <w:p w:rsidR="00BC7918" w:rsidRDefault="00BC7918" w:rsidP="00C50D7B">
            <w:pPr>
              <w:jc w:val="center"/>
              <w:rPr>
                <w:sz w:val="20"/>
                <w:szCs w:val="20"/>
              </w:rPr>
            </w:pPr>
          </w:p>
          <w:p w:rsidR="00BC7918" w:rsidRDefault="00BC7918" w:rsidP="00C50D7B">
            <w:pPr>
              <w:jc w:val="center"/>
              <w:rPr>
                <w:sz w:val="20"/>
                <w:szCs w:val="20"/>
              </w:rPr>
            </w:pPr>
            <w:r>
              <w:rPr>
                <w:sz w:val="20"/>
                <w:szCs w:val="20"/>
              </w:rPr>
              <w:t xml:space="preserve">elective credit </w:t>
            </w:r>
          </w:p>
          <w:p w:rsidR="00E67EE9" w:rsidRDefault="00E67EE9" w:rsidP="00C50D7B">
            <w:pPr>
              <w:jc w:val="center"/>
              <w:rPr>
                <w:sz w:val="20"/>
                <w:szCs w:val="20"/>
              </w:rPr>
            </w:pPr>
            <w:r>
              <w:rPr>
                <w:sz w:val="20"/>
                <w:szCs w:val="20"/>
              </w:rPr>
              <w:t>GE 100T</w:t>
            </w:r>
          </w:p>
        </w:tc>
        <w:tc>
          <w:tcPr>
            <w:tcW w:w="1188" w:type="dxa"/>
            <w:vMerge w:val="restart"/>
            <w:vAlign w:val="center"/>
          </w:tcPr>
          <w:p w:rsidR="00BC7918" w:rsidRPr="003B6B09" w:rsidRDefault="00BC7918" w:rsidP="00C50D7B">
            <w:pPr>
              <w:jc w:val="center"/>
              <w:rPr>
                <w:sz w:val="20"/>
                <w:szCs w:val="20"/>
              </w:rPr>
            </w:pPr>
            <w:r w:rsidRPr="003B6B09">
              <w:rPr>
                <w:sz w:val="20"/>
                <w:szCs w:val="20"/>
              </w:rPr>
              <w:t>3 credits</w:t>
            </w:r>
          </w:p>
        </w:tc>
      </w:tr>
      <w:tr w:rsidR="00BC7918" w:rsidTr="00C50D7B">
        <w:trPr>
          <w:trHeight w:val="300"/>
        </w:trPr>
        <w:tc>
          <w:tcPr>
            <w:tcW w:w="3168" w:type="dxa"/>
            <w:vAlign w:val="center"/>
          </w:tcPr>
          <w:p w:rsidR="00BC7918" w:rsidRPr="003B6B09" w:rsidRDefault="00BC7918" w:rsidP="00C50D7B">
            <w:pPr>
              <w:rPr>
                <w:sz w:val="20"/>
                <w:szCs w:val="20"/>
              </w:rPr>
            </w:pPr>
            <w:r w:rsidRPr="003B6B09">
              <w:rPr>
                <w:sz w:val="20"/>
                <w:szCs w:val="20"/>
              </w:rPr>
              <w:t>Principles of Engineering</w:t>
            </w:r>
          </w:p>
        </w:tc>
        <w:tc>
          <w:tcPr>
            <w:tcW w:w="1620" w:type="dxa"/>
            <w:vMerge/>
          </w:tcPr>
          <w:p w:rsidR="00BC7918" w:rsidRPr="003B6B09" w:rsidRDefault="00BC7918" w:rsidP="00C50D7B">
            <w:pPr>
              <w:rPr>
                <w:sz w:val="20"/>
                <w:szCs w:val="20"/>
              </w:rPr>
            </w:pPr>
          </w:p>
        </w:tc>
        <w:tc>
          <w:tcPr>
            <w:tcW w:w="2880" w:type="dxa"/>
            <w:vMerge/>
          </w:tcPr>
          <w:p w:rsidR="00BC7918" w:rsidRDefault="00BC7918" w:rsidP="00C50D7B"/>
        </w:tc>
        <w:tc>
          <w:tcPr>
            <w:tcW w:w="1188" w:type="dxa"/>
            <w:vMerge/>
          </w:tcPr>
          <w:p w:rsidR="00BC7918" w:rsidRDefault="00BC7918" w:rsidP="00C50D7B"/>
        </w:tc>
      </w:tr>
      <w:tr w:rsidR="00BC7918" w:rsidTr="00C50D7B">
        <w:trPr>
          <w:trHeight w:val="300"/>
        </w:trPr>
        <w:tc>
          <w:tcPr>
            <w:tcW w:w="3168" w:type="dxa"/>
            <w:vAlign w:val="center"/>
          </w:tcPr>
          <w:p w:rsidR="00BC7918" w:rsidRPr="003B6B09" w:rsidRDefault="00BC7918" w:rsidP="00C50D7B">
            <w:pPr>
              <w:rPr>
                <w:sz w:val="20"/>
                <w:szCs w:val="20"/>
              </w:rPr>
            </w:pPr>
            <w:r w:rsidRPr="003B6B09">
              <w:rPr>
                <w:sz w:val="20"/>
                <w:szCs w:val="20"/>
              </w:rPr>
              <w:t>Engineering Design &amp; Development</w:t>
            </w:r>
          </w:p>
        </w:tc>
        <w:tc>
          <w:tcPr>
            <w:tcW w:w="1620" w:type="dxa"/>
            <w:vMerge/>
          </w:tcPr>
          <w:p w:rsidR="00BC7918" w:rsidRPr="003B6B09" w:rsidRDefault="00BC7918" w:rsidP="00C50D7B">
            <w:pPr>
              <w:rPr>
                <w:sz w:val="20"/>
                <w:szCs w:val="20"/>
              </w:rPr>
            </w:pPr>
          </w:p>
        </w:tc>
        <w:tc>
          <w:tcPr>
            <w:tcW w:w="2880" w:type="dxa"/>
            <w:vMerge/>
          </w:tcPr>
          <w:p w:rsidR="00BC7918" w:rsidRDefault="00BC7918" w:rsidP="00C50D7B"/>
        </w:tc>
        <w:tc>
          <w:tcPr>
            <w:tcW w:w="1188" w:type="dxa"/>
            <w:vMerge/>
          </w:tcPr>
          <w:p w:rsidR="00BC7918" w:rsidRDefault="00BC7918" w:rsidP="00C50D7B"/>
        </w:tc>
      </w:tr>
    </w:tbl>
    <w:p w:rsidR="00BC7918" w:rsidRDefault="00BC7918" w:rsidP="00BC7918"/>
    <w:p w:rsidR="00BC7918" w:rsidRPr="00C5092E" w:rsidRDefault="00BC7918">
      <w:pPr>
        <w:rPr>
          <w:szCs w:val="24"/>
        </w:rPr>
      </w:pPr>
    </w:p>
    <w:p w:rsidR="00C5092E" w:rsidRPr="00C5092E" w:rsidRDefault="00C5092E">
      <w:pPr>
        <w:rPr>
          <w:szCs w:val="24"/>
        </w:rPr>
      </w:pPr>
    </w:p>
    <w:p w:rsidR="00C5092E" w:rsidRPr="00C5092E" w:rsidRDefault="00C5092E">
      <w:pPr>
        <w:rPr>
          <w:szCs w:val="24"/>
        </w:rPr>
      </w:pPr>
    </w:p>
    <w:sectPr w:rsidR="00C5092E" w:rsidRPr="00C5092E" w:rsidSect="00E774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D4CEC"/>
    <w:multiLevelType w:val="multilevel"/>
    <w:tmpl w:val="8A08F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2D7189"/>
    <w:multiLevelType w:val="hybridMultilevel"/>
    <w:tmpl w:val="9F38A11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20C97F96"/>
    <w:multiLevelType w:val="hybridMultilevel"/>
    <w:tmpl w:val="1314430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5092E"/>
    <w:rsid w:val="00241DEF"/>
    <w:rsid w:val="003D327D"/>
    <w:rsid w:val="00424F80"/>
    <w:rsid w:val="007A422A"/>
    <w:rsid w:val="00957A66"/>
    <w:rsid w:val="00BC7918"/>
    <w:rsid w:val="00C5092E"/>
    <w:rsid w:val="00E67EE9"/>
    <w:rsid w:val="00E7746B"/>
    <w:rsid w:val="00F260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4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5092E"/>
    <w:rPr>
      <w:color w:val="0000FF" w:themeColor="hyperlink"/>
      <w:u w:val="single"/>
    </w:rPr>
  </w:style>
  <w:style w:type="paragraph" w:styleId="NormalWeb">
    <w:name w:val="Normal (Web)"/>
    <w:basedOn w:val="Normal"/>
    <w:uiPriority w:val="99"/>
    <w:semiHidden/>
    <w:unhideWhenUsed/>
    <w:rsid w:val="00C5092E"/>
    <w:pPr>
      <w:spacing w:before="100" w:beforeAutospacing="1" w:after="100" w:afterAutospacing="1" w:line="255" w:lineRule="atLeast"/>
    </w:pPr>
    <w:rPr>
      <w:rFonts w:ascii="Arial" w:eastAsia="Times New Roman" w:hAnsi="Arial" w:cs="Arial"/>
      <w:color w:val="333333"/>
      <w:sz w:val="18"/>
      <w:szCs w:val="18"/>
    </w:rPr>
  </w:style>
  <w:style w:type="character" w:styleId="Strong">
    <w:name w:val="Strong"/>
    <w:basedOn w:val="DefaultParagraphFont"/>
    <w:uiPriority w:val="22"/>
    <w:qFormat/>
    <w:rsid w:val="00C5092E"/>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ltw.org/index.cf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878</Words>
  <Characters>4745</Characters>
  <Application>Microsoft Office Word</Application>
  <DocSecurity>0</DocSecurity>
  <Lines>527</Lines>
  <Paragraphs>147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Gingerich, Sam</dc:creator>
  <cp:keywords/>
  <dc:description/>
  <cp:lastModifiedBy>Teresa Hall</cp:lastModifiedBy>
  <cp:revision>2</cp:revision>
  <dcterms:created xsi:type="dcterms:W3CDTF">2009-05-28T15:19:00Z</dcterms:created>
  <dcterms:modified xsi:type="dcterms:W3CDTF">2009-05-28T15:19:00Z</dcterms:modified>
</cp:coreProperties>
</file>